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2024-05-24</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 is noted due to highly conserved common proteins, the two step approach of peptide-to-spectrum matching using deep paired metagenomics identify proteins at the clade classifications.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approximately 16 to 22 hours before the start of each growth experiment. The tubes containing the cultures were placed in the Multicultivator water bath set at 22°C, sparged with the experimental [O</w:t>
      </w:r>
      <w:r>
        <w:rPr>
          <w:vertAlign w:val="subscript"/>
        </w:rPr>
        <w:t xml:space="preserve">2</w:t>
      </w:r>
      <w:r>
        <w:t xml:space="preserve">], and kept in the dark for approximately 12 hours until the photoregime of a sinusoidal photoperiod commenced the following morning such that peak PAR occurred at noon each day.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While we implemented measures to minimize the shock to cultures from exposure to experimental growth conditions by inoculating them the day before the experiment began and employing a sinusoidal photoperiod with a gradual increase in PAR exposure, we acknowledge that cells typically need multiple generations to acclimate to new growth conditions</w:t>
      </w:r>
      <w:r>
        <w:t xml:space="preserve"> </w:t>
      </w:r>
      <w:r>
        <w:t xml:space="preserve">[6]</w:t>
      </w:r>
      <w:r>
        <w:t xml:space="preserve">.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MIT9313 can exploit all blue PAR levels</w:t>
      </w:r>
      <w:r>
        <w:t xml:space="preserve"> </w:t>
      </w:r>
      <w:r>
        <w:t xml:space="preserve">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 fits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2024-05-24T16:31:12Z</dcterms:created>
  <dcterms:modified xsi:type="dcterms:W3CDTF">2024-05-24T16:31:12Z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2024-05-24</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